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2024年全国拍卖行业“服务消费季”活动方案</w:t>
      </w:r>
      <w:bookmarkEnd w:id="0"/>
    </w:p>
    <w:p>
      <w:pPr>
        <w:rPr>
          <w:rFonts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ind w:firstLine="420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一、总体原则</w:t>
      </w: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（一）协会搭台，企业唱戏</w:t>
      </w: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以全年拍卖消费季方案为引领，中拍协与地方拍协相配合、协企联动、部门协同、共同发力，全力做好全年消费季活动的组织筹备。鼓励市场主体结合自身活动安排与部署，以各种形式积极参与到全年活动之中，不断打造拍卖消费新场景、优化拍卖消费新布局、激发拍卖消费新潜能。</w:t>
      </w:r>
    </w:p>
    <w:p>
      <w:pPr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　　（二）活动引领，宣传支撑</w:t>
      </w: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一手抓活动，调动广大企业的积极性和创造性，打造一批示范效应强、触及群众广、带动作用大的促消费拍卖活动，持续扩大消费季品牌效应和影响力。一手抓宣传，完善优化消费季宣传支持，对积极参与消费季企业和地方协会给予宣传支持。</w:t>
      </w:r>
    </w:p>
    <w:p>
      <w:pPr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　　（三）以民为本，惠民利民</w:t>
      </w:r>
    </w:p>
    <w:p>
      <w:pPr>
        <w:ind w:firstLine="6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鼓励拍卖行业各类市场主体，开展线上、线下联动的多主题、多类型、多渠道促消费活动，为消费者提供更优质的消费场景、更实惠的消费体验、更贴心的消费服务、更舒心的消费氛围，真正做到让利于民。</w:t>
      </w:r>
    </w:p>
    <w:p>
      <w:pPr>
        <w:ind w:firstLine="6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widowControl/>
        <w:spacing w:line="339" w:lineRule="atLeast"/>
        <w:ind w:firstLine="602"/>
        <w:jc w:val="left"/>
        <w:rPr>
          <w:rFonts w:ascii="Helvetica" w:hAnsi="Helvetica" w:eastAsia="Helvetica" w:cs="Helvetica"/>
          <w:color w:val="000000"/>
          <w:sz w:val="16"/>
          <w:szCs w:val="16"/>
          <w:highlight w:val="none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bidi="ar"/>
        </w:rPr>
        <w:t>二、活动时间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bidi="ar"/>
        </w:rPr>
        <w:t>及地点</w:t>
      </w: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（一）时间</w:t>
      </w: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1、出发点：全国拍卖行业“服务消费季”启动宣传</w:t>
      </w: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（2024年5月）</w:t>
      </w: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2、收官点：全国拍卖行业“服务消费季”年终总结</w:t>
      </w: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（2024年10月）</w:t>
      </w:r>
    </w:p>
    <w:p>
      <w:pPr>
        <w:numPr>
          <w:ilvl w:val="0"/>
          <w:numId w:val="1"/>
        </w:numPr>
        <w:ind w:firstLine="42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地点</w:t>
      </w: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各省会城市、有条件的地级主要城市、部分骨干拍卖企业经营活动场所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及网络平台。</w:t>
      </w: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widowControl/>
        <w:spacing w:line="339" w:lineRule="atLeast"/>
        <w:ind w:firstLine="602"/>
        <w:jc w:val="left"/>
        <w:rPr>
          <w:rFonts w:ascii="Helvetica" w:hAnsi="Helvetica" w:eastAsia="Helvetica" w:cs="Helvetica"/>
          <w:color w:val="000000"/>
          <w:sz w:val="16"/>
          <w:szCs w:val="16"/>
          <w:highlight w:val="none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bidi="ar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bidi="ar"/>
        </w:rPr>
        <w:t>活动重点</w:t>
      </w:r>
    </w:p>
    <w:p>
      <w:pPr>
        <w:widowControl/>
        <w:spacing w:line="339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（一）主题重点</w:t>
      </w:r>
    </w:p>
    <w:p>
      <w:pPr>
        <w:widowControl/>
        <w:spacing w:line="339" w:lineRule="atLeast"/>
        <w:ind w:firstLine="6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各省应统一以“2024年全国拍卖行业‘服务消费季’”的标识组织此次活动，并有机结合“全年乐享全民盛惠”主题。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  <w:t>标识及宣传资料参见附件3。</w:t>
      </w:r>
    </w:p>
    <w:p>
      <w:pPr>
        <w:widowControl/>
        <w:spacing w:line="339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（二）板块重点</w:t>
      </w:r>
    </w:p>
    <w:p>
      <w:pPr>
        <w:widowControl/>
        <w:spacing w:line="339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文物艺术品、机动车与农副产品、网络拍卖等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eastAsia="zh-CN" w:bidi="ar"/>
        </w:rPr>
        <w:t>。</w:t>
      </w:r>
    </w:p>
    <w:p>
      <w:pPr>
        <w:widowControl/>
        <w:spacing w:line="339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文物艺术品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、机动车与农副产品</w:t>
      </w:r>
      <w:r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是拍卖领域与消费相关最紧密的板块，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各级</w:t>
      </w:r>
      <w:r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拍协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可</w:t>
      </w:r>
      <w:r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围绕这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三</w:t>
      </w:r>
      <w:r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大板块联络各方举办消费季核心活动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，例如举办宣传论坛会议、搭建消费平台，对于能够开展拍卖走进庙会、走进市场集市的藏品展览展示、鉴宝，农产品、民品拍卖，库存商品、二手奢侈品拍卖，以及群众性义卖、义拍等活动的企业，进行宣传扶持，并积极帮助对接、联络各方资源，促进活动顺利举办。</w:t>
      </w:r>
    </w:p>
    <w:p>
      <w:pPr>
        <w:widowControl/>
        <w:spacing w:line="339" w:lineRule="atLeast"/>
        <w:ind w:firstLine="600"/>
        <w:jc w:val="left"/>
        <w:rPr>
          <w:rFonts w:ascii="Helvetica" w:hAnsi="Helvetica" w:eastAsia="Helvetica" w:cs="Helvetica"/>
          <w:color w:val="000000"/>
          <w:sz w:val="16"/>
          <w:szCs w:val="16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）宣传重点</w:t>
      </w:r>
    </w:p>
    <w:p>
      <w:pPr>
        <w:widowControl/>
        <w:spacing w:line="339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各省（区、市）拍卖行业协会可在公众号等宣传渠道发布全国拍卖行业“服务消费季”启动通知及活动新闻，并建立专栏，持续收集各地方拍协和企业投稿消费季宣传稿件，鼓励各方投稿。</w:t>
      </w:r>
    </w:p>
    <w:p>
      <w:pPr>
        <w:widowControl/>
        <w:spacing w:line="339" w:lineRule="atLeast"/>
        <w:jc w:val="left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widowControl/>
        <w:spacing w:line="339" w:lineRule="atLeast"/>
        <w:ind w:firstLine="600"/>
        <w:jc w:val="left"/>
        <w:rPr>
          <w:rFonts w:ascii="Helvetica" w:hAnsi="Helvetica" w:eastAsia="Helvetica" w:cs="Helvetica"/>
          <w:color w:val="000000"/>
          <w:sz w:val="16"/>
          <w:szCs w:val="16"/>
          <w:highlight w:val="none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bidi="ar"/>
        </w:rPr>
        <w:t>四、工作要求</w:t>
      </w:r>
    </w:p>
    <w:p>
      <w:pPr>
        <w:widowControl/>
        <w:spacing w:line="339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1.请各地方协会在往届活动经验的基础上，本着勤俭节约，注重实效的原则，制定本省活动的具体实施方案，并在6月20日前报中拍协理论宣传部。</w:t>
      </w:r>
    </w:p>
    <w:p>
      <w:pPr>
        <w:widowControl/>
        <w:spacing w:line="339" w:lineRule="atLeast"/>
        <w:ind w:firstLine="600"/>
        <w:jc w:val="left"/>
        <w:rPr>
          <w:rFonts w:ascii="Helvetica" w:hAnsi="Helvetica" w:eastAsia="Helvetica" w:cs="Helvetica"/>
          <w:color w:val="000000"/>
          <w:sz w:val="16"/>
          <w:szCs w:val="16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2. 加强活动期间的联络沟通。有关活动的动态、进展、新闻稿等，请各省及时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  <w:t>按附件2形式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报中拍协理论宣传部，我们将在中拍协官方网站、《中国拍卖》杂志等业内外主要媒体开设宣传周活动专题栏目，对各地宣传周活动内容进行实时、全面报道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  <w:t>凡2024年度举办的活动均可报送）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；希望各省市发动协会、企业、媒体的微信、微博公众账号参与互动，持续扩大宣传范围。此外，各地还可根据当地情况，邀请商务、文化、工商等政府部门支持和参与。</w:t>
      </w:r>
    </w:p>
    <w:p>
      <w:pPr>
        <w:widowControl/>
        <w:spacing w:line="339" w:lineRule="atLeast"/>
        <w:ind w:firstLine="600"/>
        <w:jc w:val="left"/>
        <w:rPr>
          <w:rFonts w:ascii="Helvetica" w:hAnsi="Helvetica" w:eastAsia="Helvetica" w:cs="Helvetica"/>
          <w:color w:val="000000"/>
          <w:sz w:val="16"/>
          <w:szCs w:val="16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3.注意总结工作。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  <w:t>活动期间，各地方协会可以附件3形式向中拍协汇报月度、季度、半年度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“活动成绩单”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  <w:t>中拍协将不定期发布阶段性总结成果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2024年12月，中拍协将针对年度有拍卖消费表现的地方拍协和企业进行年度数据、案例统计，形成全国拍卖行业“服务消费季”年终总结，并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对此次活动中表现突出的地方拍协、企业和个人给予表彰。</w:t>
      </w:r>
    </w:p>
    <w:p>
      <w:pPr>
        <w:widowControl/>
        <w:spacing w:line="339" w:lineRule="atLeast"/>
        <w:ind w:firstLine="600"/>
        <w:jc w:val="left"/>
        <w:rPr>
          <w:rFonts w:ascii="Helvetica" w:hAnsi="Helvetica" w:eastAsia="Helvetica" w:cs="Helvetica"/>
          <w:color w:val="000000"/>
          <w:sz w:val="16"/>
          <w:szCs w:val="16"/>
          <w:highlight w:val="none"/>
        </w:rPr>
      </w:pPr>
    </w:p>
    <w:p>
      <w:pPr>
        <w:ind w:firstLine="0"/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ind w:firstLine="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ind w:firstLine="420"/>
        <w:rPr>
          <w:rFonts w:ascii="仿宋" w:hAnsi="仿宋" w:eastAsia="仿宋" w:cs="仿宋"/>
          <w:sz w:val="30"/>
          <w:szCs w:val="3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57A8"/>
    <w:multiLevelType w:val="singleLevel"/>
    <w:tmpl w:val="BFFE57A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zMwYzc4OWRlM2QwMmQ3NGQxNmViZWRlZjM1YjgifQ=="/>
  </w:docVars>
  <w:rsids>
    <w:rsidRoot w:val="48D11276"/>
    <w:rsid w:val="48D11276"/>
    <w:rsid w:val="6CA4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0"/>
    <w:pPr>
      <w:jc w:val="center"/>
    </w:pPr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2024-05-29T08:28:00Z</dcterms:created>
  <dc:creator>徐馨</dc:creator>
  <cp:lastModifiedBy>徐馨</cp:lastModifiedBy>
  <dcterms:modified xsi:type="dcterms:W3CDTF">2024-05-29T08:29:26Z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B98968864FFA446D9D27EEB907861326_11</vt:lpwstr>
  </property>
</Properties>
</file>