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/>
          <w:sz w:val="30"/>
          <w:szCs w:val="30"/>
        </w:rPr>
        <w:t>附件2：</w:t>
      </w:r>
    </w:p>
    <w:p>
      <w:pPr>
        <w:snapToGrid w:val="0"/>
        <w:spacing w:line="360" w:lineRule="auto"/>
        <w:rPr>
          <w:rStyle w:val="5"/>
          <w:rFonts w:ascii="Times New Roman" w:hAnsi="Times New Roman"/>
          <w:color w:val="auto"/>
          <w:sz w:val="30"/>
          <w:szCs w:val="30"/>
        </w:rPr>
      </w:pPr>
    </w:p>
    <w:p>
      <w:pPr>
        <w:jc w:val="center"/>
        <w:rPr>
          <w:rStyle w:val="5"/>
          <w:rFonts w:ascii="Times New Roman" w:hAnsi="Times New Roman" w:eastAsia="方正小标宋_GBK"/>
          <w:color w:val="auto"/>
          <w:sz w:val="42"/>
          <w:szCs w:val="42"/>
        </w:rPr>
      </w:pPr>
      <w:r>
        <w:rPr>
          <w:rStyle w:val="5"/>
          <w:rFonts w:ascii="Times New Roman" w:hAnsi="Times New Roman" w:eastAsia="方正小标宋_GBK"/>
          <w:color w:val="auto"/>
          <w:sz w:val="42"/>
          <w:szCs w:val="42"/>
        </w:rPr>
        <w:t>20</w:t>
      </w:r>
      <w:r>
        <w:rPr>
          <w:rStyle w:val="5"/>
          <w:rFonts w:hint="eastAsia" w:ascii="Times New Roman" w:hAnsi="Times New Roman" w:eastAsia="方正小标宋_GBK"/>
          <w:color w:val="auto"/>
          <w:sz w:val="42"/>
          <w:szCs w:val="42"/>
        </w:rPr>
        <w:t>22</w:t>
      </w:r>
      <w:r>
        <w:rPr>
          <w:rStyle w:val="5"/>
          <w:rFonts w:ascii="Times New Roman" w:hAnsi="Times New Roman" w:eastAsia="方正小标宋_GBK"/>
          <w:color w:val="auto"/>
          <w:sz w:val="42"/>
          <w:szCs w:val="42"/>
        </w:rPr>
        <w:t>年度全国文物艺术品拍卖专项统计</w:t>
      </w:r>
    </w:p>
    <w:p>
      <w:pPr>
        <w:spacing w:before="163" w:beforeLines="50"/>
        <w:jc w:val="center"/>
        <w:rPr>
          <w:rStyle w:val="5"/>
          <w:rFonts w:ascii="Times New Roman" w:hAnsi="Times New Roman" w:eastAsia="楷体_GB2312"/>
          <w:b/>
          <w:color w:val="auto"/>
          <w:sz w:val="40"/>
          <w:szCs w:val="40"/>
        </w:rPr>
      </w:pPr>
      <w:r>
        <w:rPr>
          <w:rStyle w:val="5"/>
          <w:rFonts w:ascii="Times New Roman" w:hAnsi="Times New Roman" w:eastAsia="楷体_GB2312"/>
          <w:b/>
          <w:color w:val="auto"/>
          <w:sz w:val="30"/>
          <w:szCs w:val="30"/>
        </w:rPr>
        <w:t>（网络填报</w:t>
      </w:r>
      <w:r>
        <w:rPr>
          <w:rStyle w:val="5"/>
          <w:rFonts w:hint="eastAsia" w:ascii="Times New Roman" w:hAnsi="Times New Roman" w:eastAsia="楷体_GB2312"/>
          <w:b/>
          <w:color w:val="auto"/>
          <w:sz w:val="30"/>
          <w:szCs w:val="30"/>
        </w:rPr>
        <w:t>样式</w:t>
      </w:r>
      <w:r>
        <w:rPr>
          <w:rStyle w:val="5"/>
          <w:rFonts w:ascii="Times New Roman" w:hAnsi="Times New Roman" w:eastAsia="楷体_GB2312"/>
          <w:b/>
          <w:color w:val="auto"/>
          <w:sz w:val="30"/>
          <w:szCs w:val="30"/>
        </w:rPr>
        <w:t>）</w:t>
      </w:r>
    </w:p>
    <w:p>
      <w:pPr>
        <w:snapToGrid w:val="0"/>
        <w:spacing w:line="360" w:lineRule="auto"/>
        <w:ind w:firstLine="600" w:firstLineChars="200"/>
        <w:rPr>
          <w:rStyle w:val="5"/>
          <w:rFonts w:ascii="Times New Roman" w:hAnsi="Times New Roman"/>
          <w:color w:val="auto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rPr>
          <w:rFonts w:ascii="Times New Roman" w:hAnsi="Times New Roman" w:eastAsia="Heiti SC Medium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Heiti SC Medium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【特别提示】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工作为相关政府部门委托，统计信息主要用于拍卖行业管理决策，《中国文物艺术品拍卖市场统计年报》编制，行业相关排名和奖项评选，以及其他行业工作事项。企业如对相关统计项目的使用或发布持有意见，请在相应项目后的“备注栏”注明。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eastAsia="Heiti SC Medium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Heiti SC Medium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【填表说明】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 本统计以具备独立法人资格的拍卖企业为单位，子公司及关联公司均应分别填报；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 网络拍卖平台的，仅需填报自营部分（即以自己名义举办的拍卖活动），平台上其他拍卖主体组织的拍卖活动数据由各自独立填报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 联合拍卖的，应尽量以拍卖标的区分各自业务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 企业“注册资本”为年度期末数；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 “员工人数”为年度期末数，以签订劳动合同为准（不含挂职的专家、顾问）；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6．“拍卖会次数”以发布的拍卖公告数量为准；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7．当一个专场包含两个或以上类别时，如其中某一门类成交额占70%（含）以上，可全部归入此门类中（专场成交在1亿以上的除外），否则区分填报；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8．“成交价”是指拍卖师以落槌或网络系统确认等方式确认的竞买人的最高应价（即落槌价）；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9．“应收佣金（买方）”是指按竞买规则应当收取的买方佣金总额; 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10．“实收拍品款”和“实收佣金”是指截至填报日前，拍卖企业实际收到的“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统计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内</w:t>
      </w: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成交拍品”的货款和佣金；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11．“企业年度效益”一栏按自然年度计算，并仅限于文物艺术品拍卖业务，综合性拍卖企业须剔除其他业务；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12．企业有关纳税数据，均按所属期实缴数填写，上传缴税凭证须体现缴税单位、税种、所属期及金额等；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13．综合性拍卖企业在填写增值税后，须计算出其在文物艺术品拍卖业务方面的创税额；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14．“海外回流文物”以具有相关入境手续为准；</w:t>
      </w:r>
    </w:p>
    <w:p>
      <w:pPr>
        <w:widowControl w:val="0"/>
        <w:spacing w:line="360" w:lineRule="auto"/>
        <w:ind w:firstLine="600" w:firstLineChars="200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15．填报人在填报时，如有其他特殊情况，请在相应项目后的“备注栏”中予以说明。</w:t>
      </w:r>
    </w:p>
    <w:p>
      <w:pPr>
        <w:rPr>
          <w:rStyle w:val="5"/>
          <w:rFonts w:ascii="Times New Roman" w:hAnsi="Times New Roman" w:cs="Times New Roman"/>
          <w:kern w:val="0"/>
          <w:sz w:val="30"/>
          <w:szCs w:val="30"/>
        </w:rPr>
      </w:pPr>
    </w:p>
    <w:p>
      <w:pPr>
        <w:rPr>
          <w:rStyle w:val="5"/>
          <w:rFonts w:ascii="Times New Roman" w:hAnsi="Times New Roman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1247" w:gutter="0"/>
          <w:pgNumType w:chapStyle="1"/>
          <w:cols w:space="425" w:num="1"/>
          <w:docGrid w:type="lines" w:linePitch="326" w:charSpace="0"/>
        </w:sectPr>
      </w:pPr>
    </w:p>
    <w:tbl>
      <w:tblPr>
        <w:tblStyle w:val="3"/>
        <w:tblW w:w="1551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209"/>
        <w:gridCol w:w="10"/>
        <w:gridCol w:w="602"/>
        <w:gridCol w:w="581"/>
        <w:gridCol w:w="567"/>
        <w:gridCol w:w="851"/>
        <w:gridCol w:w="1134"/>
        <w:gridCol w:w="2551"/>
        <w:gridCol w:w="1317"/>
        <w:gridCol w:w="1235"/>
        <w:gridCol w:w="1417"/>
        <w:gridCol w:w="854"/>
        <w:gridCol w:w="8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53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企业基本信息</w:t>
            </w:r>
          </w:p>
        </w:tc>
        <w:tc>
          <w:tcPr>
            <w:tcW w:w="11959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企业名称：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                ]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5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59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是否具备文物拍卖经营许可：</w:t>
            </w:r>
            <w:r>
              <w:rPr>
                <w:rStyle w:val="5"/>
                <w:rFonts w:hint="eastAsia" w:hAnsi="Times New Roman" w:cs="Times New Roman"/>
                <w:color w:val="auto"/>
                <w:kern w:val="0"/>
                <w:sz w:val="21"/>
                <w:szCs w:val="21"/>
              </w:rPr>
              <w:t xml:space="preserve"> ○ </w:t>
            </w: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Style w:val="5"/>
                <w:rFonts w:hint="eastAsia" w:hAnsi="Times New Roman" w:cs="Times New Roman"/>
                <w:color w:val="auto"/>
                <w:kern w:val="0"/>
                <w:sz w:val="21"/>
                <w:szCs w:val="21"/>
              </w:rPr>
              <w:t xml:space="preserve"> [</w:t>
            </w: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许可证号（</w:t>
            </w:r>
            <w:r>
              <w:rPr>
                <w:rStyle w:val="5"/>
                <w:rFonts w:hint="eastAsia" w:hAnsi="Times New Roman" w:cs="Times New Roman"/>
                <w:color w:val="auto"/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Style w:val="5"/>
                <w:rFonts w:hint="eastAsia" w:hAnsi="Times New Roman" w:cs="Times New Roman"/>
                <w:color w:val="auto"/>
                <w:kern w:val="0"/>
                <w:sz w:val="21"/>
                <w:szCs w:val="21"/>
              </w:rPr>
              <w:t xml:space="preserve">]      ○ </w:t>
            </w: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5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59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cs="Times New Roman"/>
                <w:color w:val="auto"/>
                <w:kern w:val="0"/>
                <w:sz w:val="21"/>
                <w:szCs w:val="21"/>
              </w:rPr>
              <w:t>企业类型：</w:t>
            </w:r>
            <w:r>
              <w:rPr>
                <w:rStyle w:val="5"/>
                <w:rFonts w:hint="eastAsia" w:hAnsi="Times New Roman" w:cs="Times New Roman"/>
                <w:color w:val="auto"/>
                <w:kern w:val="0"/>
                <w:sz w:val="21"/>
                <w:szCs w:val="21"/>
              </w:rPr>
              <w:t xml:space="preserve">  ○ 以文物艺术品拍卖为主营业务  ○ 综合性拍卖企业  ○ 不以拍卖业务为主营业务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5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59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法人代表：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 ]      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注册资本：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 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万元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5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959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员工总人数：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人</w:t>
            </w:r>
            <w:r>
              <w:rPr>
                <w:rStyle w:val="5"/>
                <w:rFonts w:hint="eastAsia" w:ascii="Times New Roman" w:cs="Times New Roman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其中从事文物艺术品拍卖业务相关员工人数：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jc w:val="left"/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spacing w:val="-6"/>
                <w:kern w:val="0"/>
                <w:sz w:val="21"/>
                <w:szCs w:val="21"/>
              </w:rPr>
              <w:t>（专一从事文物艺术品拍卖的企业前述员工人数应一致</w:t>
            </w:r>
            <w:r>
              <w:rPr>
                <w:rStyle w:val="5"/>
                <w:rFonts w:ascii="Times New Roman" w:hAnsi="Times New Roman" w:cs="Times New Roman"/>
                <w:color w:val="auto"/>
                <w:spacing w:val="-6"/>
                <w:kern w:val="0"/>
                <w:sz w:val="21"/>
                <w:szCs w:val="21"/>
              </w:rPr>
              <w:t>,</w:t>
            </w:r>
            <w:r>
              <w:rPr>
                <w:rStyle w:val="5"/>
                <w:rFonts w:ascii="Times New Roman" w:cs="Times New Roman"/>
                <w:color w:val="auto"/>
                <w:spacing w:val="-6"/>
                <w:kern w:val="0"/>
                <w:sz w:val="21"/>
                <w:szCs w:val="21"/>
              </w:rPr>
              <w:t>综合性企业只需将从事资产类拍卖业务的人员减去即可）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563" w:type="dxa"/>
            <w:gridSpan w:val="3"/>
            <w:vMerge w:val="restart"/>
            <w:shd w:val="clear" w:color="auto" w:fill="FFFFFF"/>
            <w:vAlign w:val="center"/>
          </w:tcPr>
          <w:p>
            <w:pPr>
              <w:spacing w:before="163" w:beforeLines="50"/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2244725" cy="1062990"/>
                      <wp:effectExtent l="1905" t="4445" r="889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106299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pt;margin-top:-0.35pt;height:83.7pt;width:176.75pt;z-index:251659264;mso-width-relative:margin;mso-height-relative:margin;" filled="f" stroked="t" coordsize="21600,21600" o:gfxdata="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fBGw1wAAAAkBAAAPAAAAAAAAAAEAIAAAACIAAABkcnMvZG93bnJldi54&#10;bWxQSwECFAAUAAAACACHTuJA05V4qvsBAADqAwAADgAAAAAAAAABACAAAAAmAQAAZHJzL2Uyb0Rv&#10;Yy54bWxQSwUGAAAAAAYABgBZAQAAkw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                    </w:t>
            </w: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分类</w:t>
            </w:r>
          </w:p>
          <w:p>
            <w:pP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项目</w:t>
            </w:r>
          </w:p>
        </w:tc>
        <w:tc>
          <w:tcPr>
            <w:tcW w:w="175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中国书画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油画及当代艺术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            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（油画、雕塑、装置、影像、水彩、素描、速写、版画、漫画等）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瓷玉杂项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              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文物类的陶瓷器、玉石器、金属器、漆器、竹木牙角、佛教用具、纺织服饰、家具陈设、紫砂茗具、文房清供等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1317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古籍碑帖</w:t>
            </w: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18"/>
                <w:szCs w:val="18"/>
              </w:rPr>
              <w:t>（古旧书籍、碑帖、文献、手稿、印谱、砚谱等）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邮品钱币</w:t>
            </w: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ascii="Times New Roman" w:cs="Times New Roman" w:hAnsiTheme="minorEastAsia"/>
                <w:color w:val="auto"/>
                <w:sz w:val="18"/>
                <w:szCs w:val="18"/>
              </w:rPr>
              <w:t>邮票、粮票、钱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cs="Times New Roman" w:hAnsiTheme="minorEastAsia"/>
                <w:color w:val="auto"/>
                <w:sz w:val="18"/>
                <w:szCs w:val="18"/>
              </w:rPr>
              <w:t>纸币、纪念章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cs="Times New Roman" w:hAnsiTheme="minorEastAsia"/>
                <w:color w:val="auto"/>
                <w:sz w:val="18"/>
                <w:szCs w:val="18"/>
              </w:rPr>
              <w:t>币</w:t>
            </w: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ind w:left="-120" w:leftChars="-50" w:right="-120" w:rightChars="-50"/>
              <w:jc w:val="center"/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     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当代工艺品</w:t>
            </w:r>
            <w:r>
              <w:rPr>
                <w:rStyle w:val="5"/>
                <w:rFonts w:hint="eastAsia" w:ascii="Times New Roman" w:cs="Times New Roman"/>
                <w:color w:val="auto"/>
                <w:kern w:val="0"/>
                <w:sz w:val="18"/>
                <w:szCs w:val="18"/>
              </w:rPr>
              <w:t>及</w:t>
            </w:r>
          </w:p>
          <w:p>
            <w:pPr>
              <w:spacing w:line="280" w:lineRule="exact"/>
              <w:ind w:left="-120" w:leftChars="-50" w:right="-120" w:rightChars="-50"/>
              <w:jc w:val="center"/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珠宝、翡翠、玉</w:t>
            </w:r>
          </w:p>
          <w:p>
            <w:pPr>
              <w:spacing w:line="280" w:lineRule="exact"/>
              <w:ind w:left="-120" w:leftChars="-50" w:right="-120" w:rightChars="-50"/>
              <w:jc w:val="center"/>
              <w:rPr>
                <w:rStyle w:val="5"/>
                <w:rFonts w:ascii="Times New Roman" w:cs="Times New Roman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Style w:val="5"/>
                <w:rFonts w:ascii="Times New Roman" w:cs="Times New Roman"/>
                <w:color w:val="auto"/>
                <w:spacing w:val="-8"/>
                <w:kern w:val="0"/>
                <w:sz w:val="18"/>
                <w:szCs w:val="18"/>
              </w:rPr>
              <w:t>石、</w:t>
            </w:r>
            <w:r>
              <w:rPr>
                <w:rStyle w:val="5"/>
                <w:rFonts w:hint="eastAsia" w:ascii="Times New Roman" w:cs="Times New Roman"/>
                <w:color w:val="auto"/>
                <w:spacing w:val="-8"/>
                <w:kern w:val="0"/>
                <w:sz w:val="18"/>
                <w:szCs w:val="18"/>
              </w:rPr>
              <w:t>名表</w:t>
            </w:r>
            <w:r>
              <w:rPr>
                <w:rStyle w:val="5"/>
                <w:rFonts w:ascii="Times New Roman" w:cs="Times New Roman"/>
                <w:color w:val="auto"/>
                <w:spacing w:val="-8"/>
                <w:kern w:val="0"/>
                <w:sz w:val="18"/>
                <w:szCs w:val="18"/>
              </w:rPr>
              <w:t>、茶酒</w:t>
            </w:r>
            <w:r>
              <w:rPr>
                <w:rStyle w:val="5"/>
                <w:rFonts w:hint="eastAsia" w:ascii="Times New Roman" w:cs="Times New Roman"/>
                <w:color w:val="auto"/>
                <w:spacing w:val="-8"/>
                <w:kern w:val="0"/>
                <w:sz w:val="18"/>
                <w:szCs w:val="18"/>
              </w:rPr>
              <w:t>、</w:t>
            </w:r>
          </w:p>
          <w:p>
            <w:pPr>
              <w:spacing w:line="280" w:lineRule="exact"/>
              <w:ind w:left="-120" w:leftChars="-50" w:right="-120" w:rightChars="-50"/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饰品等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854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840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3563" w:type="dxa"/>
            <w:gridSpan w:val="3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古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代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近</w:t>
            </w:r>
          </w:p>
          <w:p>
            <w:pPr>
              <w:jc w:val="center"/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现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代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当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代</w:t>
            </w: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6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拍卖会次数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纯现场拍卖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场，纯网络拍卖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场，</w:t>
            </w:r>
            <w:r>
              <w:rPr>
                <w:rStyle w:val="5"/>
                <w:rFonts w:hint="eastAsia" w:ascii="Times New Roman" w:cs="Times New Roman"/>
                <w:color w:val="auto"/>
                <w:kern w:val="0"/>
                <w:sz w:val="21"/>
                <w:szCs w:val="21"/>
              </w:rPr>
              <w:t>现场与网络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同步拍卖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场，共计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]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场。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6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上拍件数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（件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套）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6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成交件数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（件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/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套）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56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成交率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%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成交拍品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价格分布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（件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套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,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不含佣金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10万以下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  <w:t>10万（含）-20万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  <w:t>20万（含）-50万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ind w:left="-20" w:leftChars="-31" w:right="-170" w:rightChars="-71" w:hanging="54"/>
              <w:jc w:val="center"/>
              <w:rPr>
                <w:rStyle w:val="5"/>
                <w:rFonts w:ascii="Times New Roman" w:hAnsi="Times New Roman" w:cs="Times New Roman"/>
                <w:color w:val="auto"/>
                <w:spacing w:val="-12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12"/>
                <w:kern w:val="0"/>
                <w:sz w:val="21"/>
                <w:szCs w:val="21"/>
              </w:rPr>
              <w:t>50万（含）-100万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ind w:left="-25" w:leftChars="-31" w:right="-170" w:rightChars="-71" w:hanging="49"/>
              <w:jc w:val="center"/>
              <w:rPr>
                <w:rStyle w:val="5"/>
                <w:rFonts w:ascii="Times New Roman" w:hAnsi="Times New Roman" w:cs="Times New Roman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20"/>
                <w:kern w:val="0"/>
                <w:sz w:val="21"/>
                <w:szCs w:val="21"/>
              </w:rPr>
              <w:t>100万（含）-500万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10"/>
                <w:kern w:val="0"/>
                <w:sz w:val="21"/>
                <w:szCs w:val="21"/>
              </w:rPr>
              <w:t>500万（含）-1000万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1000万（含）以上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bCs/>
                <w:color w:val="auto"/>
                <w:kern w:val="0"/>
                <w:sz w:val="21"/>
                <w:szCs w:val="21"/>
              </w:rPr>
              <w:t>成交金额</w:t>
            </w:r>
            <w:r>
              <w:rPr>
                <w:rStyle w:val="5"/>
                <w:rFonts w:ascii="Times New Roman" w:cs="Times New Roman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成交额（不含佣金）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应收佣金（买方）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8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85" w:type="dxa"/>
            <w:gridSpan w:val="2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5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结算情况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即年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度内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成交拍品到目前的结算情况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>实收拍品款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>（不含佣金）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（即截至填报日前已完成结算的拍品款）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>结算进度（率）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 % （ 即</w:t>
            </w: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 xml:space="preserve">实收拍品款（不含佣金）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/ 成交额</w:t>
            </w: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>（不含佣金）</w:t>
            </w:r>
            <w:r>
              <w:rPr>
                <w:rStyle w:val="5"/>
                <w:rFonts w:ascii="Times New Roman" w:hAnsi="Times New Roman" w:cs="Times New Roman"/>
                <w:color w:val="auto"/>
                <w:sz w:val="21"/>
                <w:szCs w:val="21"/>
              </w:rPr>
              <w:t>×100%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实收佣金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（买卖双方）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]万元（已结算拍品之实收佣金总额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不含图录、保险/保管等费用。）                                    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实收佣金比例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（买卖双方）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] % （ = 实收佣金 （买卖双方） / </w:t>
            </w:r>
            <w:r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  <w:t xml:space="preserve">实收拍品款（不含佣金） </w:t>
            </w:r>
            <w:r>
              <w:rPr>
                <w:rStyle w:val="5"/>
                <w:rFonts w:ascii="Times New Roman" w:hAnsi="Times New Roman" w:cs="Times New Roman"/>
                <w:color w:val="auto"/>
                <w:sz w:val="21"/>
                <w:szCs w:val="21"/>
              </w:rPr>
              <w:t>×100%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年度效益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（按自然年内填报，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且仅对文物艺术品拍卖业务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主营业务收入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佣金收入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（含在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该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年内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结算的往年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拍品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佣金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相关收入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（与文物艺术品拍卖相关的收入，包括图录费、保险/保管费、金融服务费等）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企业运营费用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 = 销售费用 + 管理费用）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主营业务利润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]万元 （ = 主营业务收入 - 企业运营费用 – 税金及附加 ） 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主营业务利润率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]  %  （ = 主营业务利润 / 主营业务收入 </w:t>
            </w:r>
            <w:r>
              <w:rPr>
                <w:rStyle w:val="5"/>
                <w:rFonts w:ascii="Times New Roman" w:hAnsi="Times New Roman" w:cs="Times New Roman"/>
                <w:color w:val="auto"/>
                <w:sz w:val="21"/>
                <w:szCs w:val="21"/>
              </w:rPr>
              <w:t>×100%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费用利润率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[           ]  %  （ = 主营业务利润 / 企业运营费用 </w:t>
            </w:r>
            <w:r>
              <w:rPr>
                <w:rStyle w:val="5"/>
                <w:rFonts w:ascii="Times New Roman" w:hAnsi="Times New Roman" w:cs="Times New Roman"/>
                <w:color w:val="auto"/>
                <w:sz w:val="21"/>
                <w:szCs w:val="21"/>
              </w:rPr>
              <w:t>×100%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人均创利</w:t>
            </w:r>
          </w:p>
        </w:tc>
        <w:tc>
          <w:tcPr>
            <w:tcW w:w="11109" w:type="dxa"/>
            <w:gridSpan w:val="10"/>
            <w:shd w:val="clear" w:color="auto" w:fill="FFFFFF"/>
            <w:noWrap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/人/年度（ = 主营业务收入 / 文物艺术品拍卖相关员工人数 ）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年度创税</w:t>
            </w: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（所属期该年1-12月）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 xml:space="preserve">              </w:t>
            </w: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企业增值税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税金：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]万元，其中文物艺术品拍卖业务创税额为[           ]万元。</w:t>
            </w:r>
          </w:p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（专一从事文物艺术品拍卖的企业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前述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两项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税金应一致）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税票：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【 * 点击上传以上增值税完税证明扫描件或照片】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（10万元以下者可免上传）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企业所得税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税金：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税票：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【 * 点击上传以上所得税完税证明扫描件或照片】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（10万元以下者可免上传）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委托人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所得税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税金：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代扣代缴</w:t>
            </w: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委托人所得税）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其他税金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税金：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]万元（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含印花税、附加税、代扣代缴员工所得税等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企业总创税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税金：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]万元（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上述所有税收总和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纯网络拍卖</w:t>
            </w: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经营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（不含同步</w:t>
            </w:r>
            <w:r>
              <w:rPr>
                <w:rStyle w:val="5"/>
                <w:rFonts w:hint="eastAsia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竞价</w:t>
            </w: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上拍件数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]件（套）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成交件数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]件（套）（实际成交件数）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成交率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 %  （ = 成交件数 / 上拍件数 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ind w:left="-60" w:leftChars="-25" w:right="-120" w:rightChars="-50"/>
              <w:jc w:val="center"/>
              <w:rPr>
                <w:rStyle w:val="5"/>
                <w:rFonts w:ascii="Times New Roman" w:hAnsi="Times New Roman" w:cs="Times New Roman"/>
                <w:color w:val="auto"/>
                <w:spacing w:val="-8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8"/>
                <w:kern w:val="0"/>
                <w:sz w:val="21"/>
                <w:szCs w:val="21"/>
              </w:rPr>
              <w:t>实收拍品款（不含佣金）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（即截至填报日前已完成结算的拍品款）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8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spacing w:val="-8"/>
                <w:kern w:val="0"/>
                <w:sz w:val="21"/>
                <w:szCs w:val="21"/>
              </w:rPr>
              <w:t>实收佣金（买卖双方）</w:t>
            </w:r>
          </w:p>
        </w:tc>
        <w:tc>
          <w:tcPr>
            <w:tcW w:w="11109" w:type="dxa"/>
            <w:gridSpan w:val="10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（已结算拍品之实收佣金总额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不含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图片费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、保险/保管等费用。）     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社会贡献</w:t>
            </w: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海外文物回流贡献（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此项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填写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保税拍品情况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上拍件数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]件（套）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成交件数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]件（套）（实际成交件数）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成交率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 %  （ = 成交件数 / 上拍件数 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总成交价（不含佣金）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企业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社会贡献</w:t>
            </w: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产业链贡献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宣传广告支出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印刷出版支出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（拍卖图录、刊物、书籍及有关资料的印刷和出版费用）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酒店会展支出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（场地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费、搭建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布置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、酒店招待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等）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运输邮递支出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（图录、拍品及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其他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资料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/物料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的快递及运输）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保险支出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（向正规保险公司投付的保险费）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差旅支出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（日常交通、住宿、餐饮等）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网络化建设支出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APP、小程序、网站、管理系统等技术开发及维护费用，第三方网络平台使用费用等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小    计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公益性贡献</w:t>
            </w: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慈善捐赠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]万元 （即现金捐赠或其他捐赠折合金额，一般以捐赠发票或证书为准，金额超过5万元的，请在备注栏中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列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明捐款对象及金额）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19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公益拍卖活动</w:t>
            </w:r>
          </w:p>
        </w:tc>
        <w:tc>
          <w:tcPr>
            <w:tcW w:w="8508" w:type="dxa"/>
            <w:gridSpan w:val="6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[           ]场，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其中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属于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各方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捐献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的金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额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是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[           ]万元（不含佣金）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附表1</w:t>
            </w:r>
          </w:p>
        </w:tc>
        <w:tc>
          <w:tcPr>
            <w:tcW w:w="13328" w:type="dxa"/>
            <w:gridSpan w:val="12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 年度1000万元以上成交拍品信息表（如有） 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下载模板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上传表格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查看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bCs/>
                <w:color w:val="auto"/>
                <w:kern w:val="0"/>
                <w:sz w:val="21"/>
                <w:szCs w:val="21"/>
              </w:rPr>
              <w:t>附表2</w:t>
            </w:r>
          </w:p>
        </w:tc>
        <w:tc>
          <w:tcPr>
            <w:tcW w:w="13328" w:type="dxa"/>
            <w:gridSpan w:val="12"/>
            <w:shd w:val="clear" w:color="auto" w:fill="FFFFFF"/>
            <w:vAlign w:val="center"/>
          </w:tcPr>
          <w:p>
            <w:pPr>
              <w:ind w:firstLine="105" w:firstLineChars="5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年度客户违约信息统计表（如有） 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下载模板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上传表格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】【点击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</w:rPr>
              <w:t>查看</w:t>
            </w: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】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12" w:type="dxa"/>
            <w:gridSpan w:val="14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企业授权填报人：[            ]            填报人移动电话：[                         ]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12" w:type="dxa"/>
            <w:gridSpan w:val="14"/>
            <w:shd w:val="clear" w:color="auto" w:fill="FFFFFF"/>
            <w:vAlign w:val="center"/>
          </w:tcPr>
          <w:p>
            <w:pPr>
              <w:ind w:firstLine="210" w:firstLineChars="100"/>
              <w:jc w:val="left"/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 w:cs="Times New Roman"/>
                <w:color w:val="auto"/>
                <w:kern w:val="0"/>
                <w:sz w:val="21"/>
                <w:szCs w:val="21"/>
              </w:rPr>
              <w:t xml:space="preserve">通讯邮编：[           ]    企业通讯电话：[                        ]   企业营业地址：[                                                        ]               </w:t>
            </w:r>
          </w:p>
        </w:tc>
      </w:tr>
    </w:tbl>
    <w:p>
      <w:pPr>
        <w:ind w:left="-360" w:leftChars="-150"/>
        <w:rPr>
          <w:rStyle w:val="5"/>
          <w:rFonts w:ascii="Times New Roman" w:hAnsi="黑体" w:eastAsia="黑体"/>
          <w:color w:val="auto"/>
          <w:sz w:val="30"/>
          <w:szCs w:val="30"/>
        </w:rPr>
      </w:pPr>
    </w:p>
    <w:p>
      <w:pPr>
        <w:ind w:left="-360" w:leftChars="-150"/>
        <w:rPr>
          <w:rStyle w:val="5"/>
          <w:rFonts w:ascii="Times New Roman" w:hAnsi="黑体" w:eastAsia="黑体"/>
          <w:color w:val="auto"/>
          <w:sz w:val="30"/>
          <w:szCs w:val="30"/>
        </w:rPr>
      </w:pPr>
      <w:bookmarkStart w:id="0" w:name="_GoBack"/>
      <w:bookmarkEnd w:id="0"/>
      <w:r>
        <w:rPr>
          <w:rStyle w:val="5"/>
          <w:rFonts w:ascii="Times New Roman" w:hAnsi="黑体" w:eastAsia="黑体"/>
          <w:color w:val="auto"/>
          <w:sz w:val="30"/>
          <w:szCs w:val="30"/>
        </w:rPr>
        <w:t>附表1：</w:t>
      </w:r>
    </w:p>
    <w:p>
      <w:pPr>
        <w:snapToGrid w:val="0"/>
        <w:spacing w:after="163"/>
        <w:jc w:val="center"/>
        <w:rPr>
          <w:rStyle w:val="5"/>
          <w:rFonts w:ascii="方正小标宋_GBK" w:eastAsia="方正小标宋_GBK"/>
          <w:color w:val="auto"/>
          <w:sz w:val="42"/>
          <w:szCs w:val="42"/>
        </w:rPr>
      </w:pPr>
      <w:r>
        <w:rPr>
          <w:rStyle w:val="5"/>
          <w:rFonts w:ascii="方正小标宋_GBK" w:eastAsia="方正小标宋_GBK"/>
          <w:color w:val="auto"/>
          <w:sz w:val="42"/>
          <w:szCs w:val="42"/>
        </w:rPr>
        <w:t>20</w:t>
      </w:r>
      <w:r>
        <w:rPr>
          <w:rStyle w:val="5"/>
          <w:rFonts w:hint="eastAsia" w:ascii="方正小标宋_GBK" w:eastAsia="方正小标宋_GBK"/>
          <w:color w:val="auto"/>
          <w:sz w:val="42"/>
          <w:szCs w:val="42"/>
        </w:rPr>
        <w:t>22</w:t>
      </w:r>
      <w:r>
        <w:rPr>
          <w:rStyle w:val="5"/>
          <w:rFonts w:ascii="方正小标宋_GBK" w:eastAsia="方正小标宋_GBK"/>
          <w:color w:val="auto"/>
          <w:sz w:val="42"/>
          <w:szCs w:val="42"/>
        </w:rPr>
        <w:t>年度1000万元以上成交拍品信息表</w:t>
      </w:r>
    </w:p>
    <w:tbl>
      <w:tblPr>
        <w:tblStyle w:val="3"/>
        <w:tblW w:w="1489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13"/>
        <w:gridCol w:w="1408"/>
        <w:gridCol w:w="1236"/>
        <w:gridCol w:w="1346"/>
        <w:gridCol w:w="1928"/>
        <w:gridCol w:w="1618"/>
        <w:gridCol w:w="1822"/>
        <w:gridCol w:w="2360"/>
        <w:gridCol w:w="6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71" w:type="dxa"/>
            <w:noWrap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 xml:space="preserve">拍品名称              </w:t>
            </w:r>
            <w:r>
              <w:rPr>
                <w:rStyle w:val="5"/>
                <w:rFonts w:ascii="黑体" w:hAnsi="黑体" w:eastAsia="黑体"/>
                <w:color w:val="auto"/>
                <w:kern w:val="0"/>
                <w:sz w:val="21"/>
                <w:szCs w:val="21"/>
              </w:rPr>
              <w:t>（含作者、年代/创作时间）</w:t>
            </w: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拍品所属             拍卖会名称</w:t>
            </w: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拍品所属                 专场名称</w:t>
            </w:r>
          </w:p>
        </w:tc>
        <w:tc>
          <w:tcPr>
            <w:tcW w:w="1294" w:type="dxa"/>
            <w:noWrap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拍品编号</w:t>
            </w:r>
          </w:p>
        </w:tc>
        <w:tc>
          <w:tcPr>
            <w:tcW w:w="1853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 xml:space="preserve">成交价            </w:t>
            </w:r>
            <w:r>
              <w:rPr>
                <w:rStyle w:val="5"/>
                <w:rFonts w:ascii="黑体" w:hAnsi="黑体" w:eastAsia="黑体"/>
                <w:color w:val="auto"/>
                <w:kern w:val="0"/>
                <w:sz w:val="21"/>
                <w:szCs w:val="21"/>
              </w:rPr>
              <w:t>（不含佣金/万元）</w:t>
            </w:r>
          </w:p>
        </w:tc>
        <w:tc>
          <w:tcPr>
            <w:tcW w:w="1555" w:type="dxa"/>
            <w:vAlign w:val="center"/>
          </w:tcPr>
          <w:p>
            <w:pPr>
              <w:spacing w:line="260" w:lineRule="exact"/>
              <w:ind w:left="-120" w:leftChars="-50" w:right="-120" w:rightChars="-50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应收</w:t>
            </w:r>
            <w:r>
              <w:rPr>
                <w:rStyle w:val="5"/>
                <w:rFonts w:ascii="黑体" w:hAnsi="黑体" w:eastAsia="黑体"/>
                <w:color w:val="auto"/>
                <w:kern w:val="0"/>
                <w:sz w:val="21"/>
                <w:szCs w:val="21"/>
              </w:rPr>
              <w:t>买方</w:t>
            </w: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 xml:space="preserve">佣金             </w:t>
            </w:r>
            <w:r>
              <w:rPr>
                <w:rStyle w:val="5"/>
                <w:rFonts w:ascii="黑体" w:hAnsi="黑体" w:eastAsia="黑体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751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 xml:space="preserve">结算进度                          </w:t>
            </w:r>
            <w:r>
              <w:rPr>
                <w:rStyle w:val="5"/>
                <w:rFonts w:ascii="黑体" w:hAnsi="黑体" w:eastAsia="黑体"/>
                <w:color w:val="auto"/>
                <w:kern w:val="0"/>
                <w:sz w:val="21"/>
                <w:szCs w:val="21"/>
              </w:rPr>
              <w:t>（截至填报日）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实收买卖双方佣金</w:t>
            </w:r>
          </w:p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Style w:val="5"/>
                <w:rFonts w:hint="eastAsia"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仅填已结算拍品</w:t>
            </w: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637" w:type="dxa"/>
            <w:noWrap/>
            <w:vAlign w:val="center"/>
          </w:tcPr>
          <w:p>
            <w:pPr>
              <w:spacing w:line="260" w:lineRule="exact"/>
              <w:jc w:val="center"/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宋体"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71" w:type="dxa"/>
            <w:noWrap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46" w:type="dxa"/>
            <w:vAlign w:val="center"/>
          </w:tcPr>
          <w:p>
            <w:pPr>
              <w:spacing w:line="260" w:lineRule="exact"/>
              <w:jc w:val="center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353" w:type="dxa"/>
            <w:noWrap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853" w:type="dxa"/>
            <w:noWrap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55" w:type="dxa"/>
            <w:noWrap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751" w:type="dxa"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○未结算                              ○未完全结算                             ○已结算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37" w:type="dxa"/>
            <w:noWrap/>
            <w:vAlign w:val="center"/>
          </w:tcPr>
          <w:p>
            <w:pPr>
              <w:spacing w:line="260" w:lineRule="exact"/>
              <w:jc w:val="left"/>
              <w:rPr>
                <w:rStyle w:val="5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color w:val="auto"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260" w:lineRule="exact"/>
        <w:jc w:val="left"/>
        <w:rPr>
          <w:rStyle w:val="5"/>
          <w:rFonts w:ascii="Times New Roman" w:hAnsi="黑体" w:eastAsia="黑体"/>
          <w:color w:val="auto"/>
          <w:sz w:val="18"/>
          <w:szCs w:val="18"/>
        </w:rPr>
      </w:pPr>
    </w:p>
    <w:p>
      <w:pPr>
        <w:spacing w:line="260" w:lineRule="exact"/>
        <w:jc w:val="left"/>
        <w:rPr>
          <w:rStyle w:val="5"/>
          <w:rFonts w:ascii="黑体" w:hAnsi="黑体" w:eastAsia="黑体" w:cs="宋体"/>
          <w:bCs/>
          <w:color w:val="auto"/>
          <w:kern w:val="0"/>
          <w:sz w:val="21"/>
          <w:szCs w:val="21"/>
        </w:rPr>
      </w:pPr>
      <w:r>
        <w:rPr>
          <w:rStyle w:val="5"/>
          <w:rFonts w:hint="eastAsia" w:ascii="Times New Roman" w:hAnsi="黑体" w:eastAsia="黑体"/>
          <w:color w:val="auto"/>
          <w:sz w:val="21"/>
          <w:szCs w:val="21"/>
        </w:rPr>
        <w:t>注：</w:t>
      </w:r>
      <w:r>
        <w:rPr>
          <w:rStyle w:val="5"/>
          <w:rFonts w:hint="eastAsia" w:ascii="黑体" w:hAnsi="黑体" w:eastAsia="黑体" w:cs="宋体"/>
          <w:bCs/>
          <w:color w:val="auto"/>
          <w:kern w:val="0"/>
          <w:sz w:val="21"/>
          <w:szCs w:val="21"/>
        </w:rPr>
        <w:t>实收买卖双方佣金不含保险/保管费、代扣代缴所得税、图录费等相关费用。</w:t>
      </w:r>
    </w:p>
    <w:p>
      <w:pPr>
        <w:rPr>
          <w:rStyle w:val="5"/>
          <w:rFonts w:ascii="Times New Roman" w:hAnsi="黑体" w:eastAsia="黑体"/>
          <w:color w:val="auto"/>
          <w:sz w:val="18"/>
          <w:szCs w:val="18"/>
        </w:rPr>
      </w:pPr>
    </w:p>
    <w:p>
      <w:pPr>
        <w:ind w:left="-360" w:leftChars="-150"/>
        <w:rPr>
          <w:rStyle w:val="5"/>
          <w:rFonts w:ascii="Times New Roman" w:hAnsi="Times New Roman" w:eastAsia="黑体"/>
          <w:color w:val="auto"/>
          <w:sz w:val="30"/>
          <w:szCs w:val="30"/>
        </w:rPr>
      </w:pPr>
      <w:r>
        <w:rPr>
          <w:rStyle w:val="5"/>
          <w:rFonts w:ascii="Times New Roman" w:hAnsi="黑体" w:eastAsia="黑体"/>
          <w:color w:val="auto"/>
          <w:sz w:val="30"/>
          <w:szCs w:val="30"/>
        </w:rPr>
        <w:t>附表</w:t>
      </w:r>
      <w:r>
        <w:rPr>
          <w:rStyle w:val="5"/>
          <w:rFonts w:ascii="Times New Roman" w:hAnsi="Times New Roman" w:eastAsia="黑体"/>
          <w:color w:val="auto"/>
          <w:sz w:val="30"/>
          <w:szCs w:val="30"/>
        </w:rPr>
        <w:t>2</w:t>
      </w:r>
      <w:r>
        <w:rPr>
          <w:rStyle w:val="5"/>
          <w:rFonts w:ascii="Times New Roman" w:hAnsi="黑体" w:eastAsia="黑体"/>
          <w:color w:val="auto"/>
          <w:sz w:val="30"/>
          <w:szCs w:val="30"/>
        </w:rPr>
        <w:t>：</w:t>
      </w:r>
    </w:p>
    <w:p>
      <w:pPr>
        <w:snapToGrid w:val="0"/>
        <w:spacing w:before="163" w:after="163"/>
        <w:jc w:val="center"/>
        <w:rPr>
          <w:rStyle w:val="5"/>
          <w:rFonts w:ascii="方正小标宋_GBK" w:eastAsia="方正小标宋_GBK"/>
          <w:color w:val="auto"/>
          <w:sz w:val="42"/>
          <w:szCs w:val="42"/>
        </w:rPr>
      </w:pPr>
      <w:r>
        <w:rPr>
          <w:rStyle w:val="5"/>
          <w:rFonts w:ascii="方正小标宋_GBK" w:eastAsia="方正小标宋_GBK"/>
          <w:color w:val="auto"/>
          <w:sz w:val="42"/>
          <w:szCs w:val="42"/>
        </w:rPr>
        <w:t>20</w:t>
      </w:r>
      <w:r>
        <w:rPr>
          <w:rStyle w:val="5"/>
          <w:rFonts w:hint="eastAsia" w:ascii="方正小标宋_GBK" w:eastAsia="方正小标宋_GBK"/>
          <w:color w:val="auto"/>
          <w:sz w:val="42"/>
          <w:szCs w:val="42"/>
        </w:rPr>
        <w:t>22</w:t>
      </w:r>
      <w:r>
        <w:rPr>
          <w:rStyle w:val="5"/>
          <w:rFonts w:ascii="方正小标宋_GBK" w:eastAsia="方正小标宋_GBK"/>
          <w:color w:val="auto"/>
          <w:sz w:val="42"/>
          <w:szCs w:val="42"/>
        </w:rPr>
        <w:t>年度客户违约信息统计表</w:t>
      </w:r>
    </w:p>
    <w:tbl>
      <w:tblPr>
        <w:tblStyle w:val="3"/>
        <w:tblW w:w="148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659"/>
        <w:gridCol w:w="2838"/>
        <w:gridCol w:w="3128"/>
        <w:gridCol w:w="4967"/>
        <w:gridCol w:w="13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25" w:type="dxa"/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客 户 名 称</w:t>
            </w:r>
          </w:p>
        </w:tc>
        <w:tc>
          <w:tcPr>
            <w:tcW w:w="2838" w:type="dxa"/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证件类型及证件号</w:t>
            </w:r>
          </w:p>
        </w:tc>
        <w:tc>
          <w:tcPr>
            <w:tcW w:w="3128" w:type="dxa"/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违约事实描述</w:t>
            </w:r>
          </w:p>
        </w:tc>
        <w:tc>
          <w:tcPr>
            <w:tcW w:w="4967" w:type="dxa"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处理意愿（可多选）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黑体" w:hAnsi="黑体" w:eastAsia="黑体" w:cs="Times New Roman"/>
                <w:bCs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25" w:type="dxa"/>
            <w:noWrap/>
            <w:vAlign w:val="center"/>
          </w:tcPr>
          <w:p>
            <w:pPr>
              <w:jc w:val="left"/>
              <w:rPr>
                <w:rStyle w:val="5"/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Style w:val="5"/>
                <w:rFonts w:ascii="Times New Roman" w:hAnsi="Times New Roman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59" w:type="dxa"/>
            <w:noWrap/>
            <w:vAlign w:val="center"/>
          </w:tcPr>
          <w:p>
            <w:pPr>
              <w:pStyle w:val="6"/>
              <w:ind w:firstLine="480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　</w:t>
            </w:r>
          </w:p>
        </w:tc>
        <w:tc>
          <w:tcPr>
            <w:tcW w:w="2838" w:type="dxa"/>
            <w:noWrap/>
            <w:vAlign w:val="center"/>
          </w:tcPr>
          <w:p>
            <w:pPr>
              <w:pStyle w:val="6"/>
              <w:spacing w:after="163" w:afterLines="50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证件类型[               ]</w:t>
            </w:r>
          </w:p>
          <w:p>
            <w:pPr>
              <w:pStyle w:val="6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证 件 号[               ]</w:t>
            </w:r>
          </w:p>
        </w:tc>
        <w:tc>
          <w:tcPr>
            <w:tcW w:w="3128" w:type="dxa"/>
            <w:noWrap/>
            <w:vAlign w:val="center"/>
          </w:tcPr>
          <w:p>
            <w:pPr>
              <w:pStyle w:val="6"/>
              <w:ind w:firstLine="480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　</w:t>
            </w:r>
          </w:p>
        </w:tc>
        <w:tc>
          <w:tcPr>
            <w:tcW w:w="4967" w:type="dxa"/>
            <w:vAlign w:val="center"/>
          </w:tcPr>
          <w:p>
            <w:pPr>
              <w:pStyle w:val="6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○ 仅限中拍协备案</w:t>
            </w:r>
          </w:p>
          <w:p>
            <w:pPr>
              <w:pStyle w:val="6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○ 授权中拍协在艺委会范围内进行通报使用</w:t>
            </w:r>
          </w:p>
          <w:p>
            <w:pPr>
              <w:pStyle w:val="6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○ 授权中拍协在全行业范围内进行通报使用</w:t>
            </w:r>
          </w:p>
          <w:p>
            <w:pPr>
              <w:pStyle w:val="6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  <w:r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  <w:t>○ 授权中拍协向国家及社会有关诚信建设部门通报</w:t>
            </w:r>
          </w:p>
        </w:tc>
        <w:tc>
          <w:tcPr>
            <w:tcW w:w="1379" w:type="dxa"/>
            <w:noWrap/>
            <w:vAlign w:val="center"/>
          </w:tcPr>
          <w:p>
            <w:pPr>
              <w:pStyle w:val="6"/>
              <w:ind w:firstLine="480"/>
              <w:rPr>
                <w:rStyle w:val="5"/>
                <w:rFonts w:ascii="Times New Roman" w:hAnsi="Times New Roman" w:eastAsia="仿宋_GB2312"/>
                <w:color w:val="auto"/>
                <w:kern w:val="0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Style w:val="5"/>
        <w:rFonts w:ascii="Times New Roman" w:hAnsi="Times New Roman"/>
        <w:spacing w:val="-10"/>
        <w:sz w:val="28"/>
        <w:szCs w:val="28"/>
      </w:rPr>
    </w:pPr>
    <w:r>
      <w:rPr>
        <w:rFonts w:hint="eastAsia" w:ascii="Times New Roman" w:hAnsi="Times New Roman"/>
        <w:spacing w:val="-10"/>
        <w:sz w:val="28"/>
        <w:szCs w:val="28"/>
      </w:rPr>
      <w:t xml:space="preserve">— </w:t>
    </w:r>
    <w:r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10"/>
        <w:sz w:val="28"/>
        <w:szCs w:val="28"/>
      </w:rPr>
      <w:fldChar w:fldCharType="separate"/>
    </w:r>
    <w:r>
      <w:rPr>
        <w:rFonts w:ascii="Times New Roman" w:hAnsi="Times New Roman"/>
        <w:spacing w:val="-10"/>
        <w:sz w:val="28"/>
        <w:szCs w:val="28"/>
        <w:lang w:val="zh-CN"/>
      </w:rPr>
      <w:t>7</w:t>
    </w:r>
    <w:r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hint="eastAsia" w:ascii="Times New Roman" w:hAnsi="Times New Roman"/>
        <w:spacing w:val="-1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ascii="Times New Roman" w:hAnsi="Times New Roman"/>
        <w:spacing w:val="-10"/>
        <w:sz w:val="28"/>
        <w:szCs w:val="28"/>
      </w:rPr>
    </w:pPr>
    <w:r>
      <w:rPr>
        <w:rFonts w:hint="eastAsia" w:ascii="Times New Roman" w:hAnsi="Times New Roman"/>
        <w:spacing w:val="-10"/>
        <w:sz w:val="28"/>
        <w:szCs w:val="28"/>
      </w:rPr>
      <w:t xml:space="preserve">— </w:t>
    </w:r>
    <w:r>
      <w:rPr>
        <w:rFonts w:ascii="Times New Roman" w:hAnsi="Times New Roman"/>
        <w:spacing w:val="-10"/>
        <w:sz w:val="28"/>
        <w:szCs w:val="28"/>
      </w:rPr>
      <w:fldChar w:fldCharType="begin"/>
    </w:r>
    <w:r>
      <w:rPr>
        <w:rFonts w:ascii="Times New Roman" w:hAnsi="Times New Roman"/>
        <w:spacing w:val="-10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10"/>
        <w:sz w:val="28"/>
        <w:szCs w:val="28"/>
      </w:rPr>
      <w:fldChar w:fldCharType="separate"/>
    </w:r>
    <w:r>
      <w:rPr>
        <w:rFonts w:ascii="Times New Roman" w:hAnsi="Times New Roman"/>
        <w:spacing w:val="-10"/>
        <w:sz w:val="28"/>
        <w:szCs w:val="28"/>
        <w:lang w:val="zh-CN"/>
      </w:rPr>
      <w:t>6</w:t>
    </w:r>
    <w:r>
      <w:rPr>
        <w:rFonts w:ascii="Times New Roman" w:hAnsi="Times New Roman"/>
        <w:spacing w:val="-10"/>
        <w:sz w:val="28"/>
        <w:szCs w:val="28"/>
      </w:rPr>
      <w:fldChar w:fldCharType="end"/>
    </w:r>
    <w:r>
      <w:rPr>
        <w:rFonts w:hint="eastAsia" w:ascii="Times New Roman" w:hAnsi="Times New Roman"/>
        <w:spacing w:val="-1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JmZmFlNTc2ZTM1NWVlMTE2YWU2M2M4OWI5ZGIifQ=="/>
  </w:docVars>
  <w:rsids>
    <w:rsidRoot w:val="75F5616A"/>
    <w:rsid w:val="2B876854"/>
    <w:rsid w:val="75F5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宋体" w:eastAsia="仿宋_GB2312" w:cstheme="minorBidi"/>
      <w:color w:val="000000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UserStyle_8"/>
    <w:qFormat/>
    <w:uiPriority w:val="0"/>
    <w:pPr>
      <w:jc w:val="both"/>
      <w:textAlignment w:val="baseline"/>
    </w:pPr>
    <w:rPr>
      <w:rFonts w:ascii="Calibri" w:hAnsi="Calibri" w:eastAsia="Calibri" w:cstheme="minorBid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2571</Words>
  <Characters>2638</Characters>
  <Lines>0</Lines>
  <Paragraphs>0</Paragraphs>
  <TotalTime>0</TotalTime>
  <ScaleCrop>false</ScaleCrop>
  <LinksUpToDate>false</LinksUpToDate>
  <CharactersWithSpaces>3715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2023-04-26T07:34:00Z</dcterms:created>
  <dc:creator>王俊红</dc:creator>
  <cp:lastModifiedBy>王俊红</cp:lastModifiedBy>
  <dcterms:modified xsi:type="dcterms:W3CDTF">2023-04-26T07:38:24Z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09D1777E58954A81B93BE1C5ED5891B2_11</vt:lpwstr>
  </property>
</Properties>
</file>